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关于开展迎评工作交流研讨会的通知</w:t>
      </w:r>
    </w:p>
    <w:p>
      <w:pPr>
        <w:spacing w:line="560" w:lineRule="exact"/>
        <w:jc w:val="center"/>
        <w:rPr>
          <w:rFonts w:ascii="楷体_GB2312" w:hAnsi="宋体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（第三场）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各学院：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为深入推进本科教育教学审核评估工作，定于1</w:t>
      </w:r>
      <w:r>
        <w:rPr>
          <w:rFonts w:ascii="仿宋_GB2312" w:hAnsi="仿宋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ascii="仿宋_GB2312" w:hAnsi="仿宋" w:eastAsia="仿宋_GB2312" w:cs="Times New Roman"/>
          <w:sz w:val="32"/>
          <w:szCs w:val="32"/>
        </w:rPr>
        <w:t>22</w:t>
      </w:r>
      <w:r>
        <w:rPr>
          <w:rFonts w:hint="eastAsia" w:ascii="仿宋_GB2312" w:hAnsi="仿宋" w:eastAsia="仿宋_GB2312" w:cs="Times New Roman"/>
          <w:sz w:val="32"/>
          <w:szCs w:val="32"/>
        </w:rPr>
        <w:t>日（周三）下午召开迎评工作第三场交流研讨会，具体安排如下：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黑体" w:hAnsi="黑体" w:eastAsia="黑体" w:cs="Times New Roman"/>
          <w:color w:val="181717" w:themeColor="background2" w:themeShade="1A"/>
          <w:sz w:val="32"/>
          <w:szCs w:val="32"/>
        </w:rPr>
        <w:t>一、交流主题</w:t>
      </w:r>
    </w:p>
    <w:p>
      <w:pPr>
        <w:numPr>
          <w:ilvl w:val="255"/>
          <w:numId w:val="0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聚焦学生发展与支持、就业与创新创业教育、招生就业与培养联动、学生和用人单位满意度等方面，交流讨论支撑材料收集与整理过程中遇到的问题。</w:t>
      </w:r>
    </w:p>
    <w:p>
      <w:pPr>
        <w:numPr>
          <w:ilvl w:val="255"/>
          <w:numId w:val="0"/>
        </w:numPr>
        <w:spacing w:line="540" w:lineRule="exact"/>
        <w:ind w:firstLine="640" w:firstLineChars="200"/>
        <w:rPr>
          <w:rFonts w:ascii="黑体" w:hAnsi="黑体" w:eastAsia="黑体" w:cs="Times New Roman"/>
          <w:color w:val="181717" w:themeColor="background2" w:themeShade="1A"/>
          <w:sz w:val="32"/>
          <w:szCs w:val="32"/>
        </w:rPr>
      </w:pPr>
      <w:r>
        <w:rPr>
          <w:rFonts w:hint="eastAsia" w:ascii="黑体" w:hAnsi="黑体" w:eastAsia="黑体" w:cs="Times New Roman"/>
          <w:color w:val="181717" w:themeColor="background2" w:themeShade="1A"/>
          <w:sz w:val="32"/>
          <w:szCs w:val="32"/>
        </w:rPr>
        <w:t>二、会议方式</w:t>
      </w:r>
    </w:p>
    <w:p>
      <w:pPr>
        <w:numPr>
          <w:ilvl w:val="255"/>
          <w:numId w:val="0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会议以线上、线下相结合的方式举行，请参会人员根据实际选择参加方式。</w:t>
      </w:r>
    </w:p>
    <w:p>
      <w:pPr>
        <w:numPr>
          <w:ilvl w:val="255"/>
          <w:numId w:val="0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（一）线下地点：榆中校区至公楼B</w:t>
      </w:r>
      <w:r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  <w:t>308</w:t>
      </w: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会议室</w:t>
      </w:r>
    </w:p>
    <w:p>
      <w:pPr>
        <w:numPr>
          <w:ilvl w:val="255"/>
          <w:numId w:val="0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（二）线上</w:t>
      </w:r>
      <w:r>
        <w:rPr>
          <w:rFonts w:hint="eastAsia" w:ascii="仿宋_GB2312" w:hAnsi="仿宋" w:eastAsia="仿宋_GB2312" w:cs="Times New Roman"/>
          <w:bCs/>
          <w:color w:val="181717" w:themeColor="background2" w:themeShade="1A"/>
          <w:sz w:val="32"/>
          <w:szCs w:val="32"/>
        </w:rPr>
        <w:t>使用腾讯会议同步进行：会议号</w:t>
      </w:r>
      <w:r>
        <w:rPr>
          <w:rFonts w:ascii="仿宋_GB2312" w:hAnsi="仿宋" w:eastAsia="仿宋_GB2312" w:cs="Times New Roman"/>
          <w:bCs/>
          <w:color w:val="181717" w:themeColor="background2" w:themeShade="1A"/>
          <w:sz w:val="32"/>
          <w:szCs w:val="32"/>
        </w:rPr>
        <w:t>488-639-664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color w:val="181717" w:themeColor="background2" w:themeShade="1A"/>
          <w:sz w:val="32"/>
          <w:szCs w:val="32"/>
        </w:rPr>
      </w:pPr>
      <w:r>
        <w:rPr>
          <w:rFonts w:hint="eastAsia" w:ascii="黑体" w:hAnsi="黑体" w:eastAsia="黑体" w:cs="Times New Roman"/>
          <w:color w:val="181717" w:themeColor="background2" w:themeShade="1A"/>
          <w:sz w:val="32"/>
          <w:szCs w:val="32"/>
        </w:rPr>
        <w:t>三、会议时间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2023年1</w:t>
      </w:r>
      <w:r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月</w:t>
      </w:r>
      <w:r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  <w:t>22</w:t>
      </w: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日</w:t>
      </w:r>
      <w:r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  <w:t>15</w:t>
      </w: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:</w:t>
      </w:r>
      <w:r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  <w:t>0</w:t>
      </w: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0</w:t>
      </w:r>
    </w:p>
    <w:p>
      <w:pPr>
        <w:numPr>
          <w:ilvl w:val="255"/>
          <w:numId w:val="0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请各学院根据需要安排人员参会。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color w:val="181717" w:themeColor="background2" w:themeShade="1A"/>
          <w:sz w:val="32"/>
          <w:szCs w:val="32"/>
        </w:rPr>
        <w:t>特此通知</w:t>
      </w:r>
      <w:r>
        <w:rPr>
          <w:rFonts w:hint="eastAsia" w:ascii="仿宋_GB2312" w:hAnsi="仿宋" w:eastAsia="仿宋_GB2312" w:cs="Times New Roman"/>
          <w:color w:val="181717" w:themeColor="background2" w:themeShade="1A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640" w:firstLineChars="145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学校迎评办公室</w:t>
      </w:r>
    </w:p>
    <w:p>
      <w:pPr>
        <w:spacing w:line="540" w:lineRule="exact"/>
        <w:ind w:firstLine="4480" w:firstLineChars="14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2023年1</w:t>
      </w:r>
      <w:r>
        <w:rPr>
          <w:rFonts w:ascii="仿宋_GB2312" w:hAnsi="仿宋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ascii="仿宋_GB2312" w:hAnsi="仿宋" w:eastAsia="仿宋_GB2312" w:cs="Times New Roman"/>
          <w:sz w:val="32"/>
          <w:szCs w:val="32"/>
        </w:rPr>
        <w:t>20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MzlmZmEwNzE5ZTAwMDMxNjY4NmQ1NzlhMjJlNGIifQ=="/>
  </w:docVars>
  <w:rsids>
    <w:rsidRoot w:val="00A210B8"/>
    <w:rsid w:val="000D4120"/>
    <w:rsid w:val="00110584"/>
    <w:rsid w:val="001925C4"/>
    <w:rsid w:val="00231001"/>
    <w:rsid w:val="002A32A7"/>
    <w:rsid w:val="0030520E"/>
    <w:rsid w:val="003379D6"/>
    <w:rsid w:val="004C5151"/>
    <w:rsid w:val="00501B32"/>
    <w:rsid w:val="00524648"/>
    <w:rsid w:val="00746A27"/>
    <w:rsid w:val="00767A7E"/>
    <w:rsid w:val="00801C6E"/>
    <w:rsid w:val="00A210B8"/>
    <w:rsid w:val="00AE4CE5"/>
    <w:rsid w:val="00B102BE"/>
    <w:rsid w:val="00BA63D6"/>
    <w:rsid w:val="00BA66E8"/>
    <w:rsid w:val="00D47F17"/>
    <w:rsid w:val="00E20D69"/>
    <w:rsid w:val="00E8623C"/>
    <w:rsid w:val="00F30968"/>
    <w:rsid w:val="00F443EB"/>
    <w:rsid w:val="070B75B7"/>
    <w:rsid w:val="1A864EDE"/>
    <w:rsid w:val="3E0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273</Words>
  <Characters>302</Characters>
  <Lines>2</Lines>
  <Paragraphs>1</Paragraphs>
  <TotalTime>0</TotalTime>
  <ScaleCrop>false</ScaleCrop>
  <LinksUpToDate>false</LinksUpToDate>
  <CharactersWithSpaces>302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2023-11-20T07:37:00Z</dcterms:created>
  <dc:creator>张静敏</dc:creator>
  <cp:lastModifiedBy>Running</cp:lastModifiedBy>
  <dcterms:modified xsi:type="dcterms:W3CDTF">2023-11-20T07:42:59Z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072838AB28EF494680E3000D15FB447C_13</vt:lpwstr>
  </property>
</Properties>
</file>